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FB" w:rsidRPr="0005110B" w:rsidRDefault="002B6E8A" w:rsidP="00C9457F">
      <w:pPr>
        <w:jc w:val="center"/>
        <w:rPr>
          <w:rFonts w:eastAsia="標楷體"/>
          <w:b/>
          <w:color w:val="000000" w:themeColor="text1"/>
        </w:rPr>
      </w:pPr>
      <w:r w:rsidRPr="0005110B">
        <w:rPr>
          <w:rFonts w:eastAsia="標楷體"/>
          <w:b/>
          <w:color w:val="000000" w:themeColor="text1"/>
        </w:rPr>
        <w:t>10</w:t>
      </w:r>
      <w:r w:rsidR="00C703BF">
        <w:rPr>
          <w:rFonts w:eastAsia="標楷體" w:hint="eastAsia"/>
          <w:b/>
          <w:color w:val="000000" w:themeColor="text1"/>
        </w:rPr>
        <w:t>5</w:t>
      </w:r>
      <w:r w:rsidR="004B24F4" w:rsidRPr="0005110B">
        <w:rPr>
          <w:rFonts w:eastAsia="標楷體"/>
          <w:b/>
          <w:color w:val="000000" w:themeColor="text1"/>
        </w:rPr>
        <w:t xml:space="preserve"> </w:t>
      </w:r>
      <w:r w:rsidR="003369FB" w:rsidRPr="0005110B">
        <w:rPr>
          <w:rFonts w:eastAsia="標楷體" w:hAnsi="標楷體"/>
          <w:b/>
          <w:color w:val="000000" w:themeColor="text1"/>
        </w:rPr>
        <w:t>學年度第</w:t>
      </w:r>
      <w:r w:rsidR="00C703BF">
        <w:rPr>
          <w:rFonts w:eastAsia="標楷體" w:hAnsi="標楷體" w:hint="eastAsia"/>
          <w:b/>
          <w:color w:val="000000" w:themeColor="text1"/>
        </w:rPr>
        <w:t>1</w:t>
      </w:r>
      <w:r w:rsidR="003369FB" w:rsidRPr="0005110B">
        <w:rPr>
          <w:rFonts w:eastAsia="標楷體" w:hAnsi="標楷體"/>
          <w:b/>
          <w:color w:val="000000" w:themeColor="text1"/>
        </w:rPr>
        <w:t>學期班親會各班家長反映意見彙整表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3543"/>
      </w:tblGrid>
      <w:tr w:rsidR="00313073" w:rsidRPr="0005110B" w:rsidTr="00B555E3">
        <w:trPr>
          <w:trHeight w:val="476"/>
        </w:trPr>
        <w:tc>
          <w:tcPr>
            <w:tcW w:w="567" w:type="dxa"/>
          </w:tcPr>
          <w:p w:rsidR="00313073" w:rsidRPr="0005110B" w:rsidRDefault="00313073" w:rsidP="00313073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313073" w:rsidRPr="0005110B" w:rsidRDefault="00313073" w:rsidP="00E91F1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05110B">
              <w:rPr>
                <w:rFonts w:eastAsia="標楷體" w:hAnsi="標楷體"/>
                <w:color w:val="000000" w:themeColor="text1"/>
              </w:rPr>
              <w:t>家長反映意見</w:t>
            </w:r>
          </w:p>
        </w:tc>
        <w:tc>
          <w:tcPr>
            <w:tcW w:w="3543" w:type="dxa"/>
            <w:vAlign w:val="center"/>
          </w:tcPr>
          <w:p w:rsidR="00313073" w:rsidRPr="0005110B" w:rsidRDefault="00313073" w:rsidP="00E91F12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05110B">
              <w:rPr>
                <w:rFonts w:eastAsia="標楷體" w:hAnsi="標楷體"/>
                <w:color w:val="000000" w:themeColor="text1"/>
              </w:rPr>
              <w:t>各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處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室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回</w:t>
            </w:r>
            <w:r w:rsidRPr="0005110B">
              <w:rPr>
                <w:rFonts w:eastAsia="標楷體"/>
                <w:color w:val="000000" w:themeColor="text1"/>
              </w:rPr>
              <w:t xml:space="preserve"> </w:t>
            </w:r>
            <w:r w:rsidRPr="0005110B">
              <w:rPr>
                <w:rFonts w:eastAsia="標楷體" w:hAnsi="標楷體"/>
                <w:color w:val="000000" w:themeColor="text1"/>
              </w:rPr>
              <w:t>覆</w:t>
            </w:r>
          </w:p>
        </w:tc>
      </w:tr>
      <w:tr w:rsidR="008B6347" w:rsidRPr="0005110B" w:rsidTr="00B555E3">
        <w:trPr>
          <w:trHeight w:val="851"/>
        </w:trPr>
        <w:tc>
          <w:tcPr>
            <w:tcW w:w="567" w:type="dxa"/>
            <w:vMerge w:val="restart"/>
          </w:tcPr>
          <w:p w:rsidR="008B6347" w:rsidRDefault="008B634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教務處</w:t>
            </w:r>
          </w:p>
        </w:tc>
        <w:tc>
          <w:tcPr>
            <w:tcW w:w="5529" w:type="dxa"/>
            <w:vAlign w:val="center"/>
          </w:tcPr>
          <w:p w:rsidR="008B6347" w:rsidRPr="0005110B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第三次段考時程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與學測時間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太近，可否往前調整</w:t>
            </w:r>
            <w:r>
              <w:rPr>
                <w:rFonts w:eastAsia="標楷體" w:hint="eastAsia"/>
                <w:color w:val="000000" w:themeColor="text1"/>
              </w:rPr>
              <w:t>(307)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Pr="00223F5D" w:rsidRDefault="008B6347" w:rsidP="00C064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已往前調整至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日、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 w:hint="eastAsia"/>
                <w:color w:val="000000" w:themeColor="text1"/>
              </w:rPr>
              <w:t>日舉行</w:t>
            </w:r>
          </w:p>
        </w:tc>
      </w:tr>
      <w:tr w:rsidR="008B6347" w:rsidRPr="0005110B" w:rsidTr="00B555E3">
        <w:trPr>
          <w:trHeight w:val="552"/>
        </w:trPr>
        <w:tc>
          <w:tcPr>
            <w:tcW w:w="567" w:type="dxa"/>
            <w:vMerge/>
          </w:tcPr>
          <w:p w:rsidR="008B6347" w:rsidRDefault="008B634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8B6347" w:rsidRPr="0005110B" w:rsidRDefault="008B6347" w:rsidP="00B24401">
            <w:pPr>
              <w:ind w:leftChars="2" w:left="125" w:hangingChars="50" w:hanging="12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請英文老師增加板書，以利學生學習</w:t>
            </w:r>
            <w:r>
              <w:rPr>
                <w:rFonts w:eastAsia="標楷體" w:hint="eastAsia"/>
                <w:color w:val="000000" w:themeColor="text1"/>
              </w:rPr>
              <w:t>(212)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Pr="0005110B" w:rsidRDefault="008B6347" w:rsidP="00C064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再請任課教師審視教材教法</w:t>
            </w:r>
            <w:r w:rsidR="007C02BB">
              <w:rPr>
                <w:rFonts w:eastAsia="標楷體" w:hint="eastAsia"/>
                <w:color w:val="000000" w:themeColor="text1"/>
              </w:rPr>
              <w:t>，適時增加。</w:t>
            </w:r>
          </w:p>
        </w:tc>
      </w:tr>
      <w:tr w:rsidR="008B6347" w:rsidRPr="0005110B" w:rsidTr="00B555E3">
        <w:trPr>
          <w:trHeight w:val="546"/>
        </w:trPr>
        <w:tc>
          <w:tcPr>
            <w:tcW w:w="567" w:type="dxa"/>
            <w:vMerge/>
          </w:tcPr>
          <w:p w:rsidR="008B6347" w:rsidRDefault="008B634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8B6347" w:rsidRPr="0005110B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>
              <w:rPr>
                <w:rFonts w:eastAsia="標楷體" w:hint="eastAsia"/>
                <w:color w:val="000000" w:themeColor="text1"/>
              </w:rPr>
              <w:t>如何了解學生平時考試成績</w:t>
            </w:r>
            <w:r>
              <w:rPr>
                <w:rFonts w:eastAsia="標楷體" w:hint="eastAsia"/>
                <w:color w:val="000000" w:themeColor="text1"/>
              </w:rPr>
              <w:t>(112)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Pr="00AA60A0" w:rsidRDefault="008B6347" w:rsidP="007C02BB">
            <w:pPr>
              <w:spacing w:line="300" w:lineRule="exact"/>
              <w:ind w:left="185" w:hangingChars="77" w:hanging="18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7C02BB"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導師多連</w:t>
            </w:r>
            <w:proofErr w:type="gramStart"/>
            <w:r>
              <w:rPr>
                <w:rFonts w:eastAsia="標楷體" w:hint="eastAsia"/>
              </w:rPr>
              <w:t>繫</w:t>
            </w:r>
            <w:proofErr w:type="gramEnd"/>
          </w:p>
        </w:tc>
      </w:tr>
      <w:tr w:rsidR="008B6347" w:rsidRPr="0005110B" w:rsidTr="00B555E3">
        <w:trPr>
          <w:trHeight w:val="553"/>
        </w:trPr>
        <w:tc>
          <w:tcPr>
            <w:tcW w:w="567" w:type="dxa"/>
            <w:vMerge/>
          </w:tcPr>
          <w:p w:rsidR="008B6347" w:rsidRDefault="008B634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8B6347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eastAsia="標楷體" w:hint="eastAsia"/>
                <w:color w:val="000000" w:themeColor="text1"/>
              </w:rPr>
              <w:t>校內語文競賽，不要限制學生只能參加一項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現在教育提倡多元學習</w:t>
            </w:r>
            <w:r>
              <w:rPr>
                <w:rFonts w:eastAsia="標楷體" w:hint="eastAsia"/>
                <w:color w:val="000000" w:themeColor="text1"/>
              </w:rPr>
              <w:t>)(103)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Pr="0005110B" w:rsidRDefault="007C02BB" w:rsidP="00C064E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再請</w:t>
            </w:r>
            <w:r w:rsidR="008B6347">
              <w:rPr>
                <w:rFonts w:eastAsia="標楷體" w:hint="eastAsia"/>
                <w:color w:val="000000" w:themeColor="text1"/>
              </w:rPr>
              <w:t>國文科教學研究會</w:t>
            </w:r>
            <w:r>
              <w:rPr>
                <w:rFonts w:eastAsia="標楷體" w:hint="eastAsia"/>
                <w:color w:val="000000" w:themeColor="text1"/>
              </w:rPr>
              <w:t>評估</w:t>
            </w:r>
          </w:p>
        </w:tc>
      </w:tr>
      <w:tr w:rsidR="008B6347" w:rsidRPr="0005110B" w:rsidTr="00B555E3">
        <w:trPr>
          <w:trHeight w:val="553"/>
        </w:trPr>
        <w:tc>
          <w:tcPr>
            <w:tcW w:w="567" w:type="dxa"/>
            <w:vMerge/>
          </w:tcPr>
          <w:p w:rsidR="008B6347" w:rsidRDefault="008B6347" w:rsidP="00313073">
            <w:pPr>
              <w:ind w:left="36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8B6347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5.</w:t>
            </w:r>
            <w:r>
              <w:rPr>
                <w:rFonts w:eastAsia="標楷體" w:hint="eastAsia"/>
                <w:color w:val="000000" w:themeColor="text1"/>
              </w:rPr>
              <w:t>段考範圍太廣，老師教不完，變成學生自己讀，造成兩者的負擔</w:t>
            </w:r>
            <w:r>
              <w:rPr>
                <w:rFonts w:eastAsia="標楷體" w:hint="eastAsia"/>
                <w:color w:val="000000" w:themeColor="text1"/>
              </w:rPr>
              <w:t>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Default="008B6347" w:rsidP="00C064E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段考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範圍均由各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科教學研究會律定，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若段考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前各科教師也會審視教學進度，並再針對段考範圍進行調整。</w:t>
            </w:r>
          </w:p>
          <w:p w:rsidR="008B6347" w:rsidRPr="0005110B" w:rsidRDefault="008B6347" w:rsidP="00C064E8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再請各科教師再特別留意段考範圍與教學進度。</w:t>
            </w:r>
          </w:p>
        </w:tc>
      </w:tr>
      <w:tr w:rsidR="00B93B27" w:rsidRPr="0005110B" w:rsidTr="00B555E3">
        <w:trPr>
          <w:trHeight w:val="561"/>
        </w:trPr>
        <w:tc>
          <w:tcPr>
            <w:tcW w:w="567" w:type="dxa"/>
            <w:vMerge w:val="restart"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處</w:t>
            </w:r>
          </w:p>
        </w:tc>
        <w:tc>
          <w:tcPr>
            <w:tcW w:w="5529" w:type="dxa"/>
            <w:vAlign w:val="center"/>
          </w:tcPr>
          <w:p w:rsidR="00B93B27" w:rsidRPr="0005110B" w:rsidRDefault="00C703BF" w:rsidP="002841C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4272D3">
              <w:rPr>
                <w:rFonts w:eastAsia="標楷體" w:hint="eastAsia"/>
                <w:color w:val="000000" w:themeColor="text1"/>
              </w:rPr>
              <w:t>西裝外套材質如同菜瓜布，對學生的皮膚不好</w:t>
            </w:r>
            <w:r w:rsidR="004272D3">
              <w:rPr>
                <w:rFonts w:eastAsia="標楷體" w:hint="eastAsia"/>
                <w:color w:val="000000" w:themeColor="text1"/>
              </w:rPr>
              <w:t>(</w:t>
            </w:r>
            <w:r w:rsidR="004272D3">
              <w:rPr>
                <w:rFonts w:eastAsia="標楷體" w:hint="eastAsia"/>
                <w:color w:val="000000" w:themeColor="text1"/>
              </w:rPr>
              <w:t>如脖子</w:t>
            </w:r>
            <w:r w:rsidR="004272D3">
              <w:rPr>
                <w:rFonts w:eastAsia="標楷體" w:hint="eastAsia"/>
                <w:color w:val="000000" w:themeColor="text1"/>
              </w:rPr>
              <w:t>)(103)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08BE" w:rsidRDefault="00F80A0A" w:rsidP="009E5C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今年材質有修改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羊毛成分</w:t>
            </w:r>
          </w:p>
          <w:p w:rsidR="003908BE" w:rsidRDefault="00F80A0A" w:rsidP="009E5C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降低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已</w:t>
            </w:r>
            <w:r w:rsidR="003908BE">
              <w:rPr>
                <w:rFonts w:eastAsia="標楷體" w:hint="eastAsia"/>
                <w:color w:val="000000" w:themeColor="text1"/>
              </w:rPr>
              <w:t>比往年</w:t>
            </w:r>
            <w:r>
              <w:rPr>
                <w:rFonts w:eastAsia="標楷體" w:hint="eastAsia"/>
                <w:color w:val="000000" w:themeColor="text1"/>
              </w:rPr>
              <w:t>大幅改善</w:t>
            </w:r>
            <w:r w:rsidR="003908BE">
              <w:rPr>
                <w:rFonts w:eastAsia="標楷體" w:hint="eastAsia"/>
                <w:color w:val="000000" w:themeColor="text1"/>
              </w:rPr>
              <w:t>觸</w:t>
            </w:r>
          </w:p>
          <w:p w:rsidR="00B93B27" w:rsidRPr="0005110B" w:rsidRDefault="003908BE" w:rsidP="009E5CE8">
            <w:pPr>
              <w:spacing w:line="300" w:lineRule="exact"/>
              <w:ind w:left="185" w:hangingChars="77" w:hanging="185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93B27" w:rsidRPr="0005110B" w:rsidTr="00B555E3">
        <w:trPr>
          <w:trHeight w:val="376"/>
        </w:trPr>
        <w:tc>
          <w:tcPr>
            <w:tcW w:w="567" w:type="dxa"/>
            <w:vMerge/>
          </w:tcPr>
          <w:p w:rsidR="00B93B27" w:rsidRDefault="00B93B27" w:rsidP="00313073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05110B" w:rsidRDefault="00C703BF" w:rsidP="00B24401">
            <w:pPr>
              <w:ind w:leftChars="1" w:left="2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冬季服裝何時發</w:t>
            </w:r>
            <w:r>
              <w:rPr>
                <w:rFonts w:eastAsia="標楷體" w:hint="eastAsia"/>
                <w:color w:val="000000" w:themeColor="text1"/>
              </w:rPr>
              <w:t>(102)</w:t>
            </w:r>
            <w:r w:rsidR="002841CD">
              <w:rPr>
                <w:rFonts w:eastAsia="標楷體" w:hint="eastAsia"/>
                <w:color w:val="000000" w:themeColor="text1"/>
              </w:rPr>
              <w:t>(104)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93B27" w:rsidRPr="0005110B" w:rsidRDefault="003908BE" w:rsidP="007D35E6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</w:t>
            </w:r>
            <w:r w:rsidR="007D35E6">
              <w:rPr>
                <w:rFonts w:eastAsia="標楷體" w:hint="eastAsia"/>
                <w:color w:val="000000" w:themeColor="text1"/>
              </w:rPr>
              <w:t>於</w:t>
            </w:r>
            <w:r w:rsidR="007D35E6">
              <w:rPr>
                <w:rFonts w:eastAsia="標楷體" w:hint="eastAsia"/>
                <w:color w:val="000000" w:themeColor="text1"/>
              </w:rPr>
              <w:t>10/3</w:t>
            </w:r>
            <w:r>
              <w:rPr>
                <w:rFonts w:eastAsia="標楷體" w:hint="eastAsia"/>
                <w:color w:val="000000" w:themeColor="text1"/>
              </w:rPr>
              <w:t>發放</w:t>
            </w:r>
            <w:r w:rsidR="007D35E6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B93B27" w:rsidRPr="0005110B" w:rsidTr="00B555E3">
        <w:trPr>
          <w:trHeight w:val="837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05110B" w:rsidRDefault="00371DF7" w:rsidP="007C02B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</w:t>
            </w:r>
            <w:r>
              <w:rPr>
                <w:rFonts w:eastAsia="標楷體" w:hint="eastAsia"/>
                <w:color w:val="000000" w:themeColor="text1"/>
              </w:rPr>
              <w:t>孩子在補繳午餐費用時，負責收</w:t>
            </w:r>
            <w:r w:rsidR="007C02BB">
              <w:rPr>
                <w:rFonts w:eastAsia="標楷體" w:hint="eastAsia"/>
                <w:color w:val="000000" w:themeColor="text1"/>
              </w:rPr>
              <w:t>錢</w:t>
            </w:r>
            <w:r>
              <w:rPr>
                <w:rFonts w:eastAsia="標楷體" w:hint="eastAsia"/>
                <w:color w:val="000000" w:themeColor="text1"/>
              </w:rPr>
              <w:t>的老師</w:t>
            </w:r>
            <w:r w:rsidR="007C02BB">
              <w:rPr>
                <w:rFonts w:eastAsia="標楷體" w:hint="eastAsia"/>
                <w:color w:val="000000" w:themeColor="text1"/>
              </w:rPr>
              <w:t>們</w:t>
            </w:r>
            <w:r>
              <w:rPr>
                <w:rFonts w:eastAsia="標楷體" w:hint="eastAsia"/>
                <w:color w:val="000000" w:themeColor="text1"/>
              </w:rPr>
              <w:t>口氣可以有禮貌些</w:t>
            </w:r>
            <w:r>
              <w:rPr>
                <w:rFonts w:eastAsia="標楷體" w:hint="eastAsia"/>
                <w:color w:val="000000" w:themeColor="text1"/>
              </w:rPr>
              <w:t>(212)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908BE" w:rsidRDefault="007C02BB" w:rsidP="00B2440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收費老師</w:t>
            </w:r>
            <w:r w:rsidR="00245DE5">
              <w:rPr>
                <w:rFonts w:eastAsia="標楷體" w:hint="eastAsia"/>
                <w:color w:val="000000" w:themeColor="text1"/>
              </w:rPr>
              <w:t>須</w:t>
            </w:r>
            <w:r w:rsidR="003908BE">
              <w:rPr>
                <w:rFonts w:eastAsia="標楷體" w:hint="eastAsia"/>
                <w:color w:val="000000" w:themeColor="text1"/>
              </w:rPr>
              <w:t>教育孩子準時繳費觀念</w:t>
            </w:r>
            <w:r w:rsidR="003908B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908BE">
              <w:rPr>
                <w:rFonts w:eastAsia="標楷體" w:hint="eastAsia"/>
                <w:color w:val="000000" w:themeColor="text1"/>
              </w:rPr>
              <w:t>如需辦理無力支付午餐者</w:t>
            </w:r>
            <w:r w:rsidR="003908B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3908BE">
              <w:rPr>
                <w:rFonts w:eastAsia="標楷體" w:hint="eastAsia"/>
                <w:color w:val="000000" w:themeColor="text1"/>
              </w:rPr>
              <w:t>請導師協助提出</w:t>
            </w:r>
            <w:r w:rsidR="003908BE">
              <w:rPr>
                <w:rFonts w:eastAsia="標楷體" w:hint="eastAsia"/>
                <w:color w:val="000000" w:themeColor="text1"/>
              </w:rPr>
              <w:t>)</w:t>
            </w:r>
            <w:r w:rsidR="003908B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9533F" w:rsidRPr="0005110B" w:rsidRDefault="0089533F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65F0C" w:rsidRPr="0005110B" w:rsidTr="00B555E3">
        <w:trPr>
          <w:trHeight w:val="565"/>
        </w:trPr>
        <w:tc>
          <w:tcPr>
            <w:tcW w:w="567" w:type="dxa"/>
            <w:vMerge/>
          </w:tcPr>
          <w:p w:rsidR="00765F0C" w:rsidRDefault="00765F0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765F0C" w:rsidRPr="0005110B" w:rsidRDefault="00765F0C" w:rsidP="007C02B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eastAsia="標楷體" w:hint="eastAsia"/>
                <w:color w:val="000000" w:themeColor="text1"/>
              </w:rPr>
              <w:t>糾察隊工作量太重，孩子已多次沒有上到</w:t>
            </w:r>
            <w:r w:rsidR="007C02BB">
              <w:rPr>
                <w:rFonts w:eastAsia="標楷體" w:hint="eastAsia"/>
                <w:color w:val="000000" w:themeColor="text1"/>
              </w:rPr>
              <w:t>正課</w:t>
            </w:r>
            <w:r>
              <w:rPr>
                <w:rFonts w:eastAsia="標楷體" w:hint="eastAsia"/>
                <w:color w:val="000000" w:themeColor="text1"/>
              </w:rPr>
              <w:t>，並下來補考缺課的考卷</w:t>
            </w:r>
            <w:r>
              <w:rPr>
                <w:rFonts w:eastAsia="標楷體" w:hint="eastAsia"/>
                <w:color w:val="000000" w:themeColor="text1"/>
              </w:rPr>
              <w:t>(212)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0C" w:rsidRPr="00F5501B" w:rsidRDefault="00765F0C" w:rsidP="007C02BB">
            <w:pPr>
              <w:spacing w:line="300" w:lineRule="exact"/>
              <w:ind w:leftChars="15" w:left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3942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="007C02BB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143942">
              <w:rPr>
                <w:rFonts w:ascii="標楷體" w:eastAsia="標楷體" w:hAnsi="標楷體" w:hint="eastAsia"/>
                <w:color w:val="000000" w:themeColor="text1"/>
              </w:rPr>
              <w:t>平日要求學生須在課餘方可從事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糾察</w:t>
            </w:r>
            <w:r w:rsidRPr="00143942">
              <w:rPr>
                <w:rFonts w:ascii="標楷體" w:eastAsia="標楷體" w:hAnsi="標楷體" w:hint="eastAsia"/>
                <w:color w:val="000000" w:themeColor="text1"/>
              </w:rPr>
              <w:t>相關工作，若有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家長所提情形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而本組有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疏漏之處，家長可透過導師或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向</w:t>
            </w:r>
            <w:r w:rsidR="007C02BB">
              <w:rPr>
                <w:rFonts w:ascii="標楷體" w:eastAsia="標楷體" w:hAnsi="標楷體" w:hint="eastAsia"/>
                <w:color w:val="000000" w:themeColor="text1"/>
              </w:rPr>
              <w:t>生輔組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反應</w:t>
            </w:r>
            <w:r w:rsidRPr="0014394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65F0C" w:rsidRPr="0005110B" w:rsidTr="00B555E3">
        <w:trPr>
          <w:trHeight w:val="2092"/>
        </w:trPr>
        <w:tc>
          <w:tcPr>
            <w:tcW w:w="567" w:type="dxa"/>
            <w:vMerge/>
          </w:tcPr>
          <w:p w:rsidR="00765F0C" w:rsidRDefault="00765F0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765F0C" w:rsidRDefault="00765F0C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5.</w:t>
            </w:r>
            <w:r>
              <w:rPr>
                <w:rFonts w:eastAsia="標楷體" w:hint="eastAsia"/>
                <w:color w:val="000000" w:themeColor="text1"/>
              </w:rPr>
              <w:t>三峽鶯歌線校車可否加開回程路線</w:t>
            </w:r>
            <w:r>
              <w:rPr>
                <w:rFonts w:eastAsia="標楷體" w:hint="eastAsia"/>
                <w:color w:val="000000" w:themeColor="text1"/>
              </w:rPr>
              <w:t>(211)</w:t>
            </w:r>
          </w:p>
          <w:p w:rsidR="00765F0C" w:rsidRDefault="00765F0C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6.</w:t>
            </w:r>
            <w:r>
              <w:rPr>
                <w:rFonts w:eastAsia="標楷體" w:hint="eastAsia"/>
                <w:color w:val="000000" w:themeColor="text1"/>
              </w:rPr>
              <w:t>林口線可否加開校車班次？目前只有一班</w:t>
            </w:r>
            <w:r>
              <w:rPr>
                <w:rFonts w:eastAsia="標楷體" w:hint="eastAsia"/>
                <w:color w:val="000000" w:themeColor="text1"/>
              </w:rPr>
              <w:t>(114)</w:t>
            </w:r>
          </w:p>
          <w:p w:rsidR="00765F0C" w:rsidRDefault="00765F0C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7. </w:t>
            </w:r>
            <w:r>
              <w:rPr>
                <w:rFonts w:eastAsia="標楷體" w:hint="eastAsia"/>
                <w:color w:val="000000" w:themeColor="text1"/>
              </w:rPr>
              <w:t>中壢線可否多派車？學生一直搭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上車</w:t>
            </w:r>
            <w:r>
              <w:rPr>
                <w:rFonts w:eastAsia="標楷體" w:hint="eastAsia"/>
                <w:color w:val="000000" w:themeColor="text1"/>
              </w:rPr>
              <w:t>(214)</w:t>
            </w:r>
          </w:p>
          <w:p w:rsidR="00765F0C" w:rsidRDefault="00765F0C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8.</w:t>
            </w:r>
            <w:r>
              <w:rPr>
                <w:rFonts w:eastAsia="標楷體" w:hint="eastAsia"/>
                <w:color w:val="000000" w:themeColor="text1"/>
              </w:rPr>
              <w:t>八德線下午學生搭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上車，建議開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班車</w:t>
            </w:r>
            <w:r>
              <w:rPr>
                <w:rFonts w:eastAsia="標楷體" w:hint="eastAsia"/>
                <w:color w:val="000000" w:themeColor="text1"/>
              </w:rPr>
              <w:t>(113)</w:t>
            </w:r>
          </w:p>
          <w:p w:rsidR="00765F0C" w:rsidRPr="0005110B" w:rsidRDefault="00765F0C" w:rsidP="00F82F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9.</w:t>
            </w:r>
            <w:r>
              <w:rPr>
                <w:rFonts w:eastAsia="標楷體" w:hint="eastAsia"/>
                <w:color w:val="000000" w:themeColor="text1"/>
              </w:rPr>
              <w:t>鶯歌線能否有回程的車子？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0C" w:rsidRPr="0005110B" w:rsidRDefault="00765F0C" w:rsidP="00AD05FD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有關家長提出各路線加開建議，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本組自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開學後已察覺相關情形並向持續桃客提出需求，惟站方回覆考量營運成本，若未達一定搭乘人數礙難多派專車，須請學生自行搭乘公車。</w:t>
            </w:r>
          </w:p>
        </w:tc>
      </w:tr>
      <w:tr w:rsidR="00B93B27" w:rsidRPr="0005110B" w:rsidTr="00B555E3">
        <w:trPr>
          <w:trHeight w:val="113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05110B" w:rsidRDefault="002841CD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6.</w:t>
            </w:r>
            <w:r>
              <w:rPr>
                <w:rFonts w:eastAsia="標楷體" w:hint="eastAsia"/>
                <w:color w:val="000000" w:themeColor="text1"/>
              </w:rPr>
              <w:t>學校是否會安排活動讓學生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做滿志工時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數</w:t>
            </w:r>
            <w:r>
              <w:rPr>
                <w:rFonts w:eastAsia="標楷體" w:hint="eastAsia"/>
                <w:color w:val="000000" w:themeColor="text1"/>
              </w:rPr>
              <w:t>?(114)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9533F" w:rsidRPr="0005110B" w:rsidRDefault="0089533F" w:rsidP="007C02BB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學校辦理的活動非常多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7C02BB">
              <w:rPr>
                <w:rFonts w:eastAsia="標楷體" w:hint="eastAsia"/>
                <w:color w:val="000000" w:themeColor="text1"/>
              </w:rPr>
              <w:t>招募時皆會公開宣導，</w:t>
            </w:r>
            <w:r>
              <w:rPr>
                <w:rFonts w:eastAsia="標楷體" w:hint="eastAsia"/>
                <w:color w:val="000000" w:themeColor="text1"/>
              </w:rPr>
              <w:t>歡迎參加</w:t>
            </w:r>
            <w:r w:rsidR="007C02BB">
              <w:rPr>
                <w:rFonts w:eastAsia="標楷體" w:hint="eastAsia"/>
                <w:color w:val="000000" w:themeColor="text1"/>
              </w:rPr>
              <w:t>，也請同學可自行參加</w:t>
            </w:r>
            <w:proofErr w:type="gramStart"/>
            <w:r w:rsidR="007C02BB">
              <w:rPr>
                <w:rFonts w:eastAsia="標楷體" w:hint="eastAsia"/>
                <w:color w:val="000000" w:themeColor="text1"/>
              </w:rPr>
              <w:t>校外志</w:t>
            </w:r>
            <w:proofErr w:type="gramEnd"/>
            <w:r w:rsidR="007C02BB">
              <w:rPr>
                <w:rFonts w:eastAsia="標楷體" w:hint="eastAsia"/>
                <w:color w:val="000000" w:themeColor="text1"/>
              </w:rPr>
              <w:t>工服務工作。</w:t>
            </w:r>
          </w:p>
        </w:tc>
      </w:tr>
      <w:tr w:rsidR="00B93B27" w:rsidRPr="0005110B" w:rsidTr="00B555E3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05110B" w:rsidRDefault="004272D3" w:rsidP="00692315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7.</w:t>
            </w:r>
            <w:r>
              <w:rPr>
                <w:rFonts w:eastAsia="標楷體" w:hint="eastAsia"/>
                <w:color w:val="000000" w:themeColor="text1"/>
              </w:rPr>
              <w:t>兄弟姊妹同校，只要繳交一份校刊費即可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現在社會提倡愛護地球</w:t>
            </w:r>
            <w:r>
              <w:rPr>
                <w:rFonts w:eastAsia="標楷體" w:hint="eastAsia"/>
                <w:color w:val="000000" w:themeColor="text1"/>
              </w:rPr>
              <w:t>)(103)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F7244" w:rsidRPr="0005110B" w:rsidRDefault="009E3FB7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校刊費用途甚廣</w:t>
            </w:r>
            <w:r w:rsidR="004F697B">
              <w:rPr>
                <w:rFonts w:eastAsia="標楷體" w:hint="eastAsia"/>
                <w:color w:val="000000" w:themeColor="text1"/>
              </w:rPr>
              <w:t>(</w:t>
            </w:r>
            <w:r w:rsidR="004F697B">
              <w:rPr>
                <w:rFonts w:eastAsia="標楷體" w:hint="eastAsia"/>
                <w:color w:val="000000" w:themeColor="text1"/>
              </w:rPr>
              <w:t>如徵稿費用</w:t>
            </w:r>
            <w:r w:rsidR="004F697B">
              <w:rPr>
                <w:rFonts w:ascii="標楷體" w:eastAsia="標楷體" w:hAnsi="標楷體" w:hint="eastAsia"/>
                <w:color w:val="000000" w:themeColor="text1"/>
              </w:rPr>
              <w:t>、獎勵</w:t>
            </w:r>
            <w:r w:rsidR="004F697B">
              <w:rPr>
                <w:rFonts w:eastAsia="標楷體" w:hint="eastAsia"/>
                <w:color w:val="000000" w:themeColor="text1"/>
              </w:rPr>
              <w:t>禮券</w:t>
            </w:r>
            <w:r w:rsidR="004F697B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孩子本屬不同個體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每</w:t>
            </w:r>
            <w:r w:rsidR="004F697B">
              <w:rPr>
                <w:rFonts w:eastAsia="標楷體" w:hint="eastAsia"/>
                <w:color w:val="000000" w:themeColor="text1"/>
              </w:rPr>
              <w:t>人一份</w:t>
            </w:r>
            <w:r w:rsidR="004F697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93B27" w:rsidRPr="0005110B" w:rsidTr="00B555E3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05110B" w:rsidRDefault="004272D3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8.</w:t>
            </w:r>
            <w:r>
              <w:rPr>
                <w:rFonts w:eastAsia="標楷體" w:hint="eastAsia"/>
                <w:color w:val="000000" w:themeColor="text1"/>
              </w:rPr>
              <w:t>朝會時間過長造成第一堂上課時間縮短</w:t>
            </w:r>
            <w:r>
              <w:rPr>
                <w:rFonts w:eastAsia="標楷體" w:hint="eastAsia"/>
                <w:color w:val="000000" w:themeColor="text1"/>
              </w:rPr>
              <w:t>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93B27" w:rsidRPr="0005110B" w:rsidRDefault="0089533F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謝謝家長提醒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會更落實時間管理的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B93B27" w:rsidRPr="001020B6" w:rsidTr="00B555E3">
        <w:trPr>
          <w:trHeight w:val="390"/>
        </w:trPr>
        <w:tc>
          <w:tcPr>
            <w:tcW w:w="567" w:type="dxa"/>
            <w:vMerge/>
          </w:tcPr>
          <w:p w:rsidR="00B93B27" w:rsidRDefault="00B93B2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B93B27" w:rsidRPr="004272D3" w:rsidRDefault="004272D3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9.</w:t>
            </w:r>
            <w:r>
              <w:rPr>
                <w:rFonts w:eastAsia="標楷體" w:hint="eastAsia"/>
                <w:color w:val="000000" w:themeColor="text1"/>
              </w:rPr>
              <w:t>社團時間在</w:t>
            </w:r>
            <w:r>
              <w:rPr>
                <w:rFonts w:eastAsia="標楷體" w:hint="eastAsia"/>
                <w:color w:val="000000" w:themeColor="text1"/>
              </w:rPr>
              <w:t>3.4</w:t>
            </w:r>
            <w:r>
              <w:rPr>
                <w:rFonts w:eastAsia="標楷體" w:hint="eastAsia"/>
                <w:color w:val="000000" w:themeColor="text1"/>
              </w:rPr>
              <w:t>節，可否改成第</w:t>
            </w:r>
            <w:r>
              <w:rPr>
                <w:rFonts w:eastAsia="標楷體" w:hint="eastAsia"/>
                <w:color w:val="000000" w:themeColor="text1"/>
              </w:rPr>
              <w:t>7.8</w:t>
            </w:r>
            <w:r>
              <w:rPr>
                <w:rFonts w:eastAsia="標楷體" w:hint="eastAsia"/>
                <w:color w:val="000000" w:themeColor="text1"/>
              </w:rPr>
              <w:t>節</w:t>
            </w:r>
            <w:r>
              <w:rPr>
                <w:rFonts w:eastAsia="標楷體" w:hint="eastAsia"/>
                <w:color w:val="000000" w:themeColor="text1"/>
              </w:rPr>
              <w:t>(103)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93B27" w:rsidRPr="0005110B" w:rsidRDefault="00934E33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目前時段是經過多年辦理修正結果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，有其背景與因素，不建議修改。</w:t>
            </w:r>
            <w:bookmarkStart w:id="0" w:name="_GoBack"/>
            <w:bookmarkEnd w:id="0"/>
          </w:p>
        </w:tc>
      </w:tr>
      <w:tr w:rsidR="0048726C" w:rsidRPr="001020B6" w:rsidTr="00B555E3">
        <w:trPr>
          <w:trHeight w:val="228"/>
        </w:trPr>
        <w:tc>
          <w:tcPr>
            <w:tcW w:w="567" w:type="dxa"/>
          </w:tcPr>
          <w:p w:rsidR="0048726C" w:rsidRDefault="0048726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48726C" w:rsidRDefault="0048726C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10.</w:t>
            </w:r>
            <w:r>
              <w:rPr>
                <w:rFonts w:eastAsia="標楷體" w:hint="eastAsia"/>
                <w:color w:val="000000" w:themeColor="text1"/>
              </w:rPr>
              <w:t>是否能有家庭聯絡簿？</w:t>
            </w:r>
            <w:r>
              <w:rPr>
                <w:rFonts w:eastAsia="標楷體" w:hint="eastAsia"/>
                <w:color w:val="000000" w:themeColor="text1"/>
              </w:rPr>
              <w:t>(111)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8726C" w:rsidRPr="0089533F" w:rsidRDefault="009E3FB7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一般親師溝通管道非常多，</w:t>
            </w:r>
            <w:r>
              <w:rPr>
                <w:rFonts w:eastAsia="標楷體" w:hint="eastAsia"/>
                <w:color w:val="000000" w:themeColor="text1"/>
              </w:rPr>
              <w:t>尊重各班級導師的班級經營方式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例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也可以使用</w:t>
            </w:r>
            <w:r>
              <w:rPr>
                <w:rFonts w:eastAsia="標楷體" w:hint="eastAsia"/>
                <w:color w:val="000000" w:themeColor="text1"/>
              </w:rPr>
              <w:t>line)</w:t>
            </w:r>
          </w:p>
        </w:tc>
      </w:tr>
      <w:tr w:rsidR="00313073" w:rsidRPr="0005110B" w:rsidTr="00B555E3">
        <w:trPr>
          <w:trHeight w:val="718"/>
        </w:trPr>
        <w:tc>
          <w:tcPr>
            <w:tcW w:w="567" w:type="dxa"/>
          </w:tcPr>
          <w:p w:rsidR="00313073" w:rsidRPr="0005110B" w:rsidRDefault="00313073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總務處</w:t>
            </w:r>
          </w:p>
        </w:tc>
        <w:tc>
          <w:tcPr>
            <w:tcW w:w="5529" w:type="dxa"/>
            <w:vAlign w:val="center"/>
          </w:tcPr>
          <w:p w:rsidR="00313073" w:rsidRPr="0005110B" w:rsidRDefault="002841CD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樓梯可以改的整齊一點</w:t>
            </w:r>
            <w:r>
              <w:rPr>
                <w:rFonts w:eastAsia="標楷體" w:hint="eastAsia"/>
                <w:color w:val="000000" w:themeColor="text1"/>
              </w:rPr>
              <w:t>(211)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3073" w:rsidRPr="0005110B" w:rsidRDefault="00765F0C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預計於</w:t>
            </w:r>
            <w:r>
              <w:rPr>
                <w:rFonts w:eastAsia="標楷體" w:hint="eastAsia"/>
                <w:color w:val="000000" w:themeColor="text1"/>
              </w:rPr>
              <w:t>106</w:t>
            </w:r>
            <w:r>
              <w:rPr>
                <w:rFonts w:eastAsia="標楷體" w:hint="eastAsia"/>
                <w:color w:val="000000" w:themeColor="text1"/>
              </w:rPr>
              <w:t>學年度進行大樓耐震補強規劃時，請結構技師一併列入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工項並尋求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相關經費補助。</w:t>
            </w:r>
          </w:p>
        </w:tc>
      </w:tr>
      <w:tr w:rsidR="008B6347" w:rsidRPr="003C36B2" w:rsidTr="00B555E3">
        <w:trPr>
          <w:trHeight w:val="718"/>
        </w:trPr>
        <w:tc>
          <w:tcPr>
            <w:tcW w:w="567" w:type="dxa"/>
            <w:vMerge w:val="restart"/>
          </w:tcPr>
          <w:p w:rsidR="008B6347" w:rsidRDefault="008B6347" w:rsidP="0031307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輔導室</w:t>
            </w:r>
          </w:p>
        </w:tc>
        <w:tc>
          <w:tcPr>
            <w:tcW w:w="5529" w:type="dxa"/>
            <w:vAlign w:val="center"/>
          </w:tcPr>
          <w:p w:rsidR="008B6347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職科何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時會安排升學輔導？是否會和普通科一樣在正課中有生涯輔導課</w:t>
            </w:r>
            <w:r>
              <w:rPr>
                <w:rFonts w:eastAsia="標楷體" w:hint="eastAsia"/>
                <w:color w:val="000000" w:themeColor="text1"/>
              </w:rPr>
              <w:t>(114)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Default="008B6347" w:rsidP="00B24401">
            <w:pPr>
              <w:spacing w:line="300" w:lineRule="exact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本屆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高一職科的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生涯規劃課程預計將在高三開設。高一升學相關的測驗及活動是</w:t>
            </w:r>
            <w:r w:rsidR="007C02BB">
              <w:rPr>
                <w:rFonts w:eastAsia="標楷體" w:hint="eastAsia"/>
                <w:color w:val="000000" w:themeColor="text1"/>
              </w:rPr>
              <w:t>於班週會時間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採借課入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班宣導的模式進行。</w:t>
            </w:r>
          </w:p>
          <w:p w:rsidR="007C02BB" w:rsidRPr="0005110B" w:rsidRDefault="007C02BB" w:rsidP="00B24401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此外，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高一開始即陸續安排各學群講座，請鼓勵孩子積極參噢。</w:t>
            </w:r>
          </w:p>
        </w:tc>
      </w:tr>
      <w:tr w:rsidR="008B6347" w:rsidRPr="003C36B2" w:rsidTr="00B555E3">
        <w:trPr>
          <w:trHeight w:val="718"/>
        </w:trPr>
        <w:tc>
          <w:tcPr>
            <w:tcW w:w="567" w:type="dxa"/>
            <w:vMerge/>
          </w:tcPr>
          <w:p w:rsidR="008B6347" w:rsidRDefault="008B6347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8B6347" w:rsidRPr="0005110B" w:rsidRDefault="008B6347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>
              <w:rPr>
                <w:rFonts w:eastAsia="標楷體" w:hint="eastAsia"/>
                <w:color w:val="000000" w:themeColor="text1"/>
              </w:rPr>
              <w:t>如果學生想去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國外念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大學，途徑和相關資訊為何？</w:t>
            </w:r>
            <w:r>
              <w:rPr>
                <w:rFonts w:eastAsia="標楷體" w:hint="eastAsia"/>
                <w:color w:val="000000" w:themeColor="text1"/>
              </w:rPr>
              <w:t>(210)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B6347" w:rsidRPr="0005110B" w:rsidRDefault="00B555E3" w:rsidP="00B555E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本校於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日曾辦理</w:t>
            </w:r>
            <w:r>
              <w:rPr>
                <w:rFonts w:eastAsia="標楷體" w:hint="eastAsia"/>
                <w:color w:val="000000" w:themeColor="text1"/>
              </w:rPr>
              <w:t>FSG</w:t>
            </w:r>
            <w:r>
              <w:rPr>
                <w:rFonts w:eastAsia="標楷體" w:hint="eastAsia"/>
                <w:color w:val="000000" w:themeColor="text1"/>
              </w:rPr>
              <w:t>日本學校宣導會。如有其他需求請自行與輔導老師聯繫，以提供個別訊息。</w:t>
            </w:r>
          </w:p>
        </w:tc>
      </w:tr>
      <w:tr w:rsidR="00765F0C" w:rsidRPr="0005110B" w:rsidTr="00B555E3">
        <w:trPr>
          <w:trHeight w:val="678"/>
        </w:trPr>
        <w:tc>
          <w:tcPr>
            <w:tcW w:w="567" w:type="dxa"/>
            <w:vMerge w:val="restart"/>
          </w:tcPr>
          <w:p w:rsidR="00765F0C" w:rsidRDefault="00765F0C" w:rsidP="009E5CE8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實輔處</w:t>
            </w:r>
            <w:proofErr w:type="gramEnd"/>
          </w:p>
          <w:p w:rsidR="00765F0C" w:rsidRDefault="00765F0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765F0C" w:rsidRPr="0005110B" w:rsidRDefault="00765F0C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電腦丙檢的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上課時間</w:t>
            </w:r>
            <w:r>
              <w:rPr>
                <w:rFonts w:eastAsia="標楷體" w:hint="eastAsia"/>
                <w:color w:val="000000" w:themeColor="text1"/>
              </w:rPr>
              <w:t>(112)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0C" w:rsidRDefault="00765F0C" w:rsidP="00AD05FD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112</w:t>
            </w:r>
            <w:r>
              <w:rPr>
                <w:rFonts w:eastAsia="標楷體" w:hint="eastAsia"/>
                <w:color w:val="000000"/>
              </w:rPr>
              <w:t>班的本學期</w:t>
            </w:r>
            <w:proofErr w:type="gramStart"/>
            <w:r>
              <w:rPr>
                <w:rFonts w:eastAsia="標楷體" w:hint="eastAsia"/>
                <w:color w:val="000000"/>
              </w:rPr>
              <w:t>電腦丙檢上課</w:t>
            </w:r>
            <w:proofErr w:type="gramEnd"/>
            <w:r>
              <w:rPr>
                <w:rFonts w:eastAsia="標楷體" w:hint="eastAsia"/>
                <w:color w:val="000000"/>
              </w:rPr>
              <w:t>時間為</w:t>
            </w:r>
            <w:r>
              <w:rPr>
                <w:rFonts w:eastAsia="標楷體" w:hint="eastAsia"/>
                <w:color w:val="000000"/>
              </w:rPr>
              <w:t>10/01.10/29.11/12.11/26.</w:t>
            </w:r>
          </w:p>
          <w:p w:rsidR="00765F0C" w:rsidRPr="0005110B" w:rsidRDefault="00765F0C" w:rsidP="00AD05FD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12/10.12/20.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/7</w:t>
            </w:r>
            <w:r>
              <w:rPr>
                <w:rFonts w:eastAsia="標楷體" w:hint="eastAsia"/>
                <w:color w:val="000000"/>
              </w:rPr>
              <w:t>，共</w:t>
            </w:r>
            <w:r>
              <w:rPr>
                <w:rFonts w:eastAsia="標楷體" w:hint="eastAsia"/>
                <w:color w:val="000000"/>
              </w:rPr>
              <w:t>7</w:t>
            </w:r>
            <w:r>
              <w:rPr>
                <w:rFonts w:eastAsia="標楷體" w:hint="eastAsia"/>
                <w:color w:val="000000"/>
              </w:rPr>
              <w:t>次上課，當天的下午</w:t>
            </w:r>
            <w:r>
              <w:rPr>
                <w:rFonts w:eastAsia="標楷體" w:hint="eastAsia"/>
                <w:color w:val="000000"/>
              </w:rPr>
              <w:t>13:30~16:30</w:t>
            </w:r>
          </w:p>
        </w:tc>
      </w:tr>
      <w:tr w:rsidR="00765F0C" w:rsidRPr="0005110B" w:rsidTr="00B555E3">
        <w:trPr>
          <w:trHeight w:val="678"/>
        </w:trPr>
        <w:tc>
          <w:tcPr>
            <w:tcW w:w="567" w:type="dxa"/>
            <w:vMerge/>
          </w:tcPr>
          <w:p w:rsidR="00765F0C" w:rsidRDefault="00765F0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765F0C" w:rsidRPr="0005110B" w:rsidRDefault="00765F0C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eastAsia="標楷體" w:hint="eastAsia"/>
                <w:color w:val="000000" w:themeColor="text1"/>
              </w:rPr>
              <w:t>除了四張證照之外，還有其他證照嗎？</w:t>
            </w:r>
            <w:r>
              <w:rPr>
                <w:rFonts w:eastAsia="標楷體" w:hint="eastAsia"/>
                <w:color w:val="000000" w:themeColor="text1"/>
              </w:rPr>
              <w:t>(112)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0C" w:rsidRDefault="00765F0C" w:rsidP="00AD05F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國貿科報考勞委會證照為：一年級電腦軟體</w:t>
            </w:r>
            <w:proofErr w:type="gramStart"/>
            <w:r>
              <w:rPr>
                <w:rFonts w:eastAsia="標楷體" w:hint="eastAsia"/>
                <w:color w:val="000000"/>
              </w:rPr>
              <w:t>應用丙檢及</w:t>
            </w:r>
            <w:proofErr w:type="gramEnd"/>
            <w:r>
              <w:rPr>
                <w:rFonts w:eastAsia="標楷體" w:hint="eastAsia"/>
                <w:color w:val="000000"/>
              </w:rPr>
              <w:t>會計人工</w:t>
            </w:r>
            <w:proofErr w:type="gramStart"/>
            <w:r>
              <w:rPr>
                <w:rFonts w:eastAsia="標楷體" w:hint="eastAsia"/>
                <w:color w:val="000000"/>
              </w:rPr>
              <w:t>記帳丙檢</w:t>
            </w:r>
            <w:proofErr w:type="gramEnd"/>
            <w:r>
              <w:rPr>
                <w:rFonts w:eastAsia="標楷體" w:hint="eastAsia"/>
                <w:color w:val="000000"/>
              </w:rPr>
              <w:t>；二年級國貿業務丙級檢定。</w:t>
            </w:r>
          </w:p>
          <w:p w:rsidR="00765F0C" w:rsidRDefault="00765F0C" w:rsidP="00AD05F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學生在三年級時可以自由報名電腦軟體應用乙級或會計資訊乙級</w:t>
            </w:r>
          </w:p>
          <w:p w:rsidR="00765F0C" w:rsidRPr="00832C88" w:rsidRDefault="00765F0C" w:rsidP="00AD05F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商教學會辦理的商教英檢及會計檢定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自由報名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765F0C" w:rsidRPr="0005110B" w:rsidTr="00B555E3">
        <w:trPr>
          <w:trHeight w:val="678"/>
        </w:trPr>
        <w:tc>
          <w:tcPr>
            <w:tcW w:w="567" w:type="dxa"/>
          </w:tcPr>
          <w:p w:rsidR="00765F0C" w:rsidRDefault="00765F0C" w:rsidP="0031307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:rsidR="00765F0C" w:rsidRDefault="00765F0C" w:rsidP="00B24401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3.ok</w:t>
            </w:r>
            <w:r>
              <w:rPr>
                <w:rFonts w:eastAsia="標楷體" w:hint="eastAsia"/>
                <w:color w:val="000000" w:themeColor="text1"/>
              </w:rPr>
              <w:t>超商實習是否加進成績中</w:t>
            </w:r>
            <w:r>
              <w:rPr>
                <w:rFonts w:eastAsia="標楷體" w:hint="eastAsia"/>
                <w:color w:val="000000" w:themeColor="text1"/>
              </w:rPr>
              <w:t>(112)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65F0C" w:rsidRPr="00832C88" w:rsidRDefault="00765F0C" w:rsidP="00AD05F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OK</w:t>
            </w:r>
            <w:r>
              <w:rPr>
                <w:rFonts w:eastAsia="標楷體" w:hint="eastAsia"/>
                <w:color w:val="000000"/>
              </w:rPr>
              <w:t>超商實習為二年級下學期的活動，搭配專題製作課程，</w:t>
            </w:r>
            <w:proofErr w:type="gramStart"/>
            <w:r>
              <w:rPr>
                <w:rFonts w:eastAsia="標楷體" w:hint="eastAsia"/>
                <w:color w:val="000000"/>
              </w:rPr>
              <w:t>所以會協請</w:t>
            </w:r>
            <w:proofErr w:type="gramEnd"/>
            <w:r>
              <w:rPr>
                <w:rFonts w:eastAsia="標楷體" w:hint="eastAsia"/>
                <w:color w:val="000000"/>
              </w:rPr>
              <w:t>店長評量當日的實習分數，也會請學生撰寫實習日誌，納入專題製作的成績中。</w:t>
            </w:r>
          </w:p>
        </w:tc>
      </w:tr>
    </w:tbl>
    <w:p w:rsidR="00333A87" w:rsidRPr="0005110B" w:rsidRDefault="00333A87" w:rsidP="00B555E3">
      <w:pPr>
        <w:jc w:val="both"/>
        <w:rPr>
          <w:rFonts w:eastAsia="標楷體"/>
          <w:color w:val="000000" w:themeColor="text1"/>
        </w:rPr>
      </w:pPr>
    </w:p>
    <w:sectPr w:rsidR="00333A87" w:rsidRPr="0005110B" w:rsidSect="002278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89" w:rsidRDefault="00F57089">
      <w:r>
        <w:separator/>
      </w:r>
    </w:p>
  </w:endnote>
  <w:endnote w:type="continuationSeparator" w:id="0">
    <w:p w:rsidR="00F57089" w:rsidRDefault="00F5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89" w:rsidRDefault="00F57089">
      <w:r>
        <w:separator/>
      </w:r>
    </w:p>
  </w:footnote>
  <w:footnote w:type="continuationSeparator" w:id="0">
    <w:p w:rsidR="00F57089" w:rsidRDefault="00F57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0993"/>
    <w:multiLevelType w:val="hybridMultilevel"/>
    <w:tmpl w:val="2BFA5FEE"/>
    <w:lvl w:ilvl="0" w:tplc="CDB8B70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FB57EB"/>
    <w:multiLevelType w:val="hybridMultilevel"/>
    <w:tmpl w:val="CFA81408"/>
    <w:lvl w:ilvl="0" w:tplc="557C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895"/>
    <w:rsid w:val="000114E5"/>
    <w:rsid w:val="00032999"/>
    <w:rsid w:val="00040F1B"/>
    <w:rsid w:val="0004264E"/>
    <w:rsid w:val="0005110B"/>
    <w:rsid w:val="00057212"/>
    <w:rsid w:val="000618A4"/>
    <w:rsid w:val="00064BC8"/>
    <w:rsid w:val="0006768A"/>
    <w:rsid w:val="00083399"/>
    <w:rsid w:val="00087D94"/>
    <w:rsid w:val="00091C84"/>
    <w:rsid w:val="00092899"/>
    <w:rsid w:val="00093D76"/>
    <w:rsid w:val="000B07D1"/>
    <w:rsid w:val="000C09CA"/>
    <w:rsid w:val="000F4ACE"/>
    <w:rsid w:val="001006A6"/>
    <w:rsid w:val="001020B6"/>
    <w:rsid w:val="00112671"/>
    <w:rsid w:val="00123957"/>
    <w:rsid w:val="00124492"/>
    <w:rsid w:val="001256EF"/>
    <w:rsid w:val="00142343"/>
    <w:rsid w:val="001447B6"/>
    <w:rsid w:val="00145011"/>
    <w:rsid w:val="00146E85"/>
    <w:rsid w:val="00161381"/>
    <w:rsid w:val="001627BB"/>
    <w:rsid w:val="00165B54"/>
    <w:rsid w:val="00176479"/>
    <w:rsid w:val="001839F7"/>
    <w:rsid w:val="001860F7"/>
    <w:rsid w:val="001870D6"/>
    <w:rsid w:val="001A059D"/>
    <w:rsid w:val="001D1DD9"/>
    <w:rsid w:val="001E37EB"/>
    <w:rsid w:val="001E7810"/>
    <w:rsid w:val="001E7A91"/>
    <w:rsid w:val="001E7D67"/>
    <w:rsid w:val="00201546"/>
    <w:rsid w:val="00221BF7"/>
    <w:rsid w:val="00222D16"/>
    <w:rsid w:val="00223F5D"/>
    <w:rsid w:val="0022784B"/>
    <w:rsid w:val="00234557"/>
    <w:rsid w:val="00245DE5"/>
    <w:rsid w:val="0024681E"/>
    <w:rsid w:val="00253044"/>
    <w:rsid w:val="00256B39"/>
    <w:rsid w:val="002637CD"/>
    <w:rsid w:val="0027460B"/>
    <w:rsid w:val="00281203"/>
    <w:rsid w:val="00281E9F"/>
    <w:rsid w:val="00282D0B"/>
    <w:rsid w:val="002841CD"/>
    <w:rsid w:val="0028690F"/>
    <w:rsid w:val="002938B2"/>
    <w:rsid w:val="002B11D8"/>
    <w:rsid w:val="002B3CB0"/>
    <w:rsid w:val="002B6E8A"/>
    <w:rsid w:val="002C2E70"/>
    <w:rsid w:val="002C4D8D"/>
    <w:rsid w:val="002C6A03"/>
    <w:rsid w:val="002D1025"/>
    <w:rsid w:val="002D229B"/>
    <w:rsid w:val="002D7817"/>
    <w:rsid w:val="002E033B"/>
    <w:rsid w:val="002E07E5"/>
    <w:rsid w:val="002E72CE"/>
    <w:rsid w:val="002F07DC"/>
    <w:rsid w:val="002F3C52"/>
    <w:rsid w:val="003027F1"/>
    <w:rsid w:val="00307615"/>
    <w:rsid w:val="00307CBC"/>
    <w:rsid w:val="00313073"/>
    <w:rsid w:val="003136B1"/>
    <w:rsid w:val="003157AD"/>
    <w:rsid w:val="0032594C"/>
    <w:rsid w:val="00327381"/>
    <w:rsid w:val="00331CCC"/>
    <w:rsid w:val="0033205E"/>
    <w:rsid w:val="00333A87"/>
    <w:rsid w:val="003369FB"/>
    <w:rsid w:val="00342761"/>
    <w:rsid w:val="003465F2"/>
    <w:rsid w:val="00353B8E"/>
    <w:rsid w:val="00356E44"/>
    <w:rsid w:val="00371DF7"/>
    <w:rsid w:val="00375105"/>
    <w:rsid w:val="003758B1"/>
    <w:rsid w:val="00375E24"/>
    <w:rsid w:val="00377ACF"/>
    <w:rsid w:val="00377D17"/>
    <w:rsid w:val="00381469"/>
    <w:rsid w:val="0038554F"/>
    <w:rsid w:val="003908BE"/>
    <w:rsid w:val="00391331"/>
    <w:rsid w:val="00397C84"/>
    <w:rsid w:val="003A3F36"/>
    <w:rsid w:val="003A4B9B"/>
    <w:rsid w:val="003B3BE1"/>
    <w:rsid w:val="003B790E"/>
    <w:rsid w:val="003C36B2"/>
    <w:rsid w:val="003D3546"/>
    <w:rsid w:val="003F5DE4"/>
    <w:rsid w:val="00405F72"/>
    <w:rsid w:val="00425CDD"/>
    <w:rsid w:val="004272D3"/>
    <w:rsid w:val="004317D7"/>
    <w:rsid w:val="0044645E"/>
    <w:rsid w:val="00453824"/>
    <w:rsid w:val="00463023"/>
    <w:rsid w:val="004703DE"/>
    <w:rsid w:val="00473B1D"/>
    <w:rsid w:val="0047448F"/>
    <w:rsid w:val="004802CE"/>
    <w:rsid w:val="0048726C"/>
    <w:rsid w:val="004903C7"/>
    <w:rsid w:val="00491066"/>
    <w:rsid w:val="004A2125"/>
    <w:rsid w:val="004A3C58"/>
    <w:rsid w:val="004A4D9A"/>
    <w:rsid w:val="004B24F4"/>
    <w:rsid w:val="004B26A3"/>
    <w:rsid w:val="004D1751"/>
    <w:rsid w:val="004D268E"/>
    <w:rsid w:val="004F616B"/>
    <w:rsid w:val="004F697B"/>
    <w:rsid w:val="00504EC0"/>
    <w:rsid w:val="00506FBC"/>
    <w:rsid w:val="005326EB"/>
    <w:rsid w:val="00541B5E"/>
    <w:rsid w:val="00545EA3"/>
    <w:rsid w:val="005517CD"/>
    <w:rsid w:val="005552C0"/>
    <w:rsid w:val="005559F5"/>
    <w:rsid w:val="00560514"/>
    <w:rsid w:val="005619F2"/>
    <w:rsid w:val="005675B3"/>
    <w:rsid w:val="00567E45"/>
    <w:rsid w:val="005704CE"/>
    <w:rsid w:val="005758F2"/>
    <w:rsid w:val="00580571"/>
    <w:rsid w:val="00581AB9"/>
    <w:rsid w:val="00592B58"/>
    <w:rsid w:val="00593D40"/>
    <w:rsid w:val="005962DE"/>
    <w:rsid w:val="00597780"/>
    <w:rsid w:val="005A5FFC"/>
    <w:rsid w:val="005B7AF4"/>
    <w:rsid w:val="005C61F6"/>
    <w:rsid w:val="005D1CC4"/>
    <w:rsid w:val="005D29B1"/>
    <w:rsid w:val="005D2DEB"/>
    <w:rsid w:val="005D53E2"/>
    <w:rsid w:val="005E12E7"/>
    <w:rsid w:val="005E572B"/>
    <w:rsid w:val="00605B1E"/>
    <w:rsid w:val="00612E9B"/>
    <w:rsid w:val="00614340"/>
    <w:rsid w:val="006364A2"/>
    <w:rsid w:val="006446B6"/>
    <w:rsid w:val="00654D30"/>
    <w:rsid w:val="00663072"/>
    <w:rsid w:val="006674A2"/>
    <w:rsid w:val="00673F1A"/>
    <w:rsid w:val="00675C8C"/>
    <w:rsid w:val="006806B1"/>
    <w:rsid w:val="00681EB5"/>
    <w:rsid w:val="006858B1"/>
    <w:rsid w:val="00692315"/>
    <w:rsid w:val="006B0104"/>
    <w:rsid w:val="006C5536"/>
    <w:rsid w:val="006C6DD9"/>
    <w:rsid w:val="006D0102"/>
    <w:rsid w:val="006E300F"/>
    <w:rsid w:val="006F39B7"/>
    <w:rsid w:val="006F7244"/>
    <w:rsid w:val="00702373"/>
    <w:rsid w:val="00706C93"/>
    <w:rsid w:val="00706E47"/>
    <w:rsid w:val="007208F8"/>
    <w:rsid w:val="00732FCC"/>
    <w:rsid w:val="00752777"/>
    <w:rsid w:val="00765AA3"/>
    <w:rsid w:val="00765F0C"/>
    <w:rsid w:val="00767B1C"/>
    <w:rsid w:val="007804E1"/>
    <w:rsid w:val="00797993"/>
    <w:rsid w:val="007B1DF3"/>
    <w:rsid w:val="007B475C"/>
    <w:rsid w:val="007B7224"/>
    <w:rsid w:val="007B774E"/>
    <w:rsid w:val="007C02BB"/>
    <w:rsid w:val="007C4BA1"/>
    <w:rsid w:val="007C4E39"/>
    <w:rsid w:val="007D1391"/>
    <w:rsid w:val="007D35E6"/>
    <w:rsid w:val="007D477D"/>
    <w:rsid w:val="007D5EE3"/>
    <w:rsid w:val="007E0205"/>
    <w:rsid w:val="007E0295"/>
    <w:rsid w:val="007E14F7"/>
    <w:rsid w:val="007E4F84"/>
    <w:rsid w:val="007E70FB"/>
    <w:rsid w:val="007F03EF"/>
    <w:rsid w:val="007F169A"/>
    <w:rsid w:val="0080066E"/>
    <w:rsid w:val="008244C9"/>
    <w:rsid w:val="00832C88"/>
    <w:rsid w:val="00833D6D"/>
    <w:rsid w:val="008427AE"/>
    <w:rsid w:val="00846F1A"/>
    <w:rsid w:val="00856BA4"/>
    <w:rsid w:val="00862163"/>
    <w:rsid w:val="00881278"/>
    <w:rsid w:val="00884895"/>
    <w:rsid w:val="008906F4"/>
    <w:rsid w:val="00890D0D"/>
    <w:rsid w:val="0089533F"/>
    <w:rsid w:val="008B2808"/>
    <w:rsid w:val="008B6347"/>
    <w:rsid w:val="008C0977"/>
    <w:rsid w:val="008C0C70"/>
    <w:rsid w:val="008D03B1"/>
    <w:rsid w:val="008D450A"/>
    <w:rsid w:val="008F2C9E"/>
    <w:rsid w:val="00912767"/>
    <w:rsid w:val="00921204"/>
    <w:rsid w:val="00934E33"/>
    <w:rsid w:val="0093604E"/>
    <w:rsid w:val="00937600"/>
    <w:rsid w:val="009500E3"/>
    <w:rsid w:val="00957607"/>
    <w:rsid w:val="00965EBC"/>
    <w:rsid w:val="00967EA7"/>
    <w:rsid w:val="009729C6"/>
    <w:rsid w:val="00972A90"/>
    <w:rsid w:val="00984303"/>
    <w:rsid w:val="00984AAB"/>
    <w:rsid w:val="00987153"/>
    <w:rsid w:val="009A7915"/>
    <w:rsid w:val="009B36DD"/>
    <w:rsid w:val="009C440B"/>
    <w:rsid w:val="009C7AB3"/>
    <w:rsid w:val="009C7AD2"/>
    <w:rsid w:val="009D3D15"/>
    <w:rsid w:val="009E03F9"/>
    <w:rsid w:val="009E3FB7"/>
    <w:rsid w:val="009E41F5"/>
    <w:rsid w:val="009E5CE8"/>
    <w:rsid w:val="009F0A23"/>
    <w:rsid w:val="00A00553"/>
    <w:rsid w:val="00A13C23"/>
    <w:rsid w:val="00A155F6"/>
    <w:rsid w:val="00A17786"/>
    <w:rsid w:val="00A251BC"/>
    <w:rsid w:val="00A32C41"/>
    <w:rsid w:val="00A3343A"/>
    <w:rsid w:val="00A41526"/>
    <w:rsid w:val="00A71FB0"/>
    <w:rsid w:val="00A739B8"/>
    <w:rsid w:val="00A830C2"/>
    <w:rsid w:val="00A87024"/>
    <w:rsid w:val="00A90681"/>
    <w:rsid w:val="00AB0D2A"/>
    <w:rsid w:val="00AB14E8"/>
    <w:rsid w:val="00AD5FAF"/>
    <w:rsid w:val="00AE4F9C"/>
    <w:rsid w:val="00AE7B4D"/>
    <w:rsid w:val="00AF5517"/>
    <w:rsid w:val="00B02DA8"/>
    <w:rsid w:val="00B100AA"/>
    <w:rsid w:val="00B24401"/>
    <w:rsid w:val="00B266CB"/>
    <w:rsid w:val="00B37866"/>
    <w:rsid w:val="00B41E50"/>
    <w:rsid w:val="00B555E3"/>
    <w:rsid w:val="00B56581"/>
    <w:rsid w:val="00B70836"/>
    <w:rsid w:val="00B817B5"/>
    <w:rsid w:val="00B924F4"/>
    <w:rsid w:val="00B93B27"/>
    <w:rsid w:val="00BA1C5A"/>
    <w:rsid w:val="00BA1D6C"/>
    <w:rsid w:val="00BC436C"/>
    <w:rsid w:val="00BC4455"/>
    <w:rsid w:val="00BD163A"/>
    <w:rsid w:val="00BD3E6A"/>
    <w:rsid w:val="00BD5765"/>
    <w:rsid w:val="00C00FB1"/>
    <w:rsid w:val="00C107C1"/>
    <w:rsid w:val="00C11DD8"/>
    <w:rsid w:val="00C13C1E"/>
    <w:rsid w:val="00C22E78"/>
    <w:rsid w:val="00C3668B"/>
    <w:rsid w:val="00C37A44"/>
    <w:rsid w:val="00C41599"/>
    <w:rsid w:val="00C52118"/>
    <w:rsid w:val="00C651D6"/>
    <w:rsid w:val="00C703BF"/>
    <w:rsid w:val="00C8408C"/>
    <w:rsid w:val="00C9457F"/>
    <w:rsid w:val="00C95D0B"/>
    <w:rsid w:val="00CA3195"/>
    <w:rsid w:val="00CA3875"/>
    <w:rsid w:val="00CB3385"/>
    <w:rsid w:val="00CC53DE"/>
    <w:rsid w:val="00CD0A64"/>
    <w:rsid w:val="00CF5890"/>
    <w:rsid w:val="00D27323"/>
    <w:rsid w:val="00D316E3"/>
    <w:rsid w:val="00D364AA"/>
    <w:rsid w:val="00D508A0"/>
    <w:rsid w:val="00D70D97"/>
    <w:rsid w:val="00D74C03"/>
    <w:rsid w:val="00D76799"/>
    <w:rsid w:val="00D85CCF"/>
    <w:rsid w:val="00D91D7F"/>
    <w:rsid w:val="00D9404C"/>
    <w:rsid w:val="00D9565D"/>
    <w:rsid w:val="00DA2E90"/>
    <w:rsid w:val="00DA522B"/>
    <w:rsid w:val="00DB0990"/>
    <w:rsid w:val="00DB2805"/>
    <w:rsid w:val="00DB5A4D"/>
    <w:rsid w:val="00DE0B0D"/>
    <w:rsid w:val="00DE1CEE"/>
    <w:rsid w:val="00DE1ED7"/>
    <w:rsid w:val="00E16592"/>
    <w:rsid w:val="00E20F53"/>
    <w:rsid w:val="00E34E6D"/>
    <w:rsid w:val="00E66F67"/>
    <w:rsid w:val="00E81E36"/>
    <w:rsid w:val="00E91F12"/>
    <w:rsid w:val="00E952DD"/>
    <w:rsid w:val="00EA64F0"/>
    <w:rsid w:val="00EB066F"/>
    <w:rsid w:val="00EB1D4D"/>
    <w:rsid w:val="00EC288B"/>
    <w:rsid w:val="00EC68A9"/>
    <w:rsid w:val="00EC7829"/>
    <w:rsid w:val="00ED121F"/>
    <w:rsid w:val="00ED5D9C"/>
    <w:rsid w:val="00ED7A9F"/>
    <w:rsid w:val="00EF2B9A"/>
    <w:rsid w:val="00EF6CD6"/>
    <w:rsid w:val="00F11979"/>
    <w:rsid w:val="00F12405"/>
    <w:rsid w:val="00F14A1D"/>
    <w:rsid w:val="00F2138D"/>
    <w:rsid w:val="00F5501B"/>
    <w:rsid w:val="00F5561E"/>
    <w:rsid w:val="00F57089"/>
    <w:rsid w:val="00F70EC6"/>
    <w:rsid w:val="00F71865"/>
    <w:rsid w:val="00F71A02"/>
    <w:rsid w:val="00F73B95"/>
    <w:rsid w:val="00F80A0A"/>
    <w:rsid w:val="00F8280F"/>
    <w:rsid w:val="00F82FED"/>
    <w:rsid w:val="00FA4418"/>
    <w:rsid w:val="00FB694F"/>
    <w:rsid w:val="00FC1B77"/>
    <w:rsid w:val="00FC1D46"/>
    <w:rsid w:val="00FC2ED3"/>
    <w:rsid w:val="00FC385A"/>
    <w:rsid w:val="00FD05D0"/>
    <w:rsid w:val="00FD1175"/>
    <w:rsid w:val="00FD41CB"/>
    <w:rsid w:val="00FD78E3"/>
    <w:rsid w:val="00FE5748"/>
    <w:rsid w:val="00FF6E45"/>
    <w:rsid w:val="00FF72BD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9F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5D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064BC8"/>
    <w:pPr>
      <w:ind w:leftChars="200" w:left="480"/>
    </w:pPr>
    <w:rPr>
      <w:rFonts w:ascii="Calibri" w:hAnsi="Calibri"/>
      <w:szCs w:val="22"/>
    </w:rPr>
  </w:style>
  <w:style w:type="character" w:styleId="a7">
    <w:name w:val="annotation reference"/>
    <w:basedOn w:val="a0"/>
    <w:semiHidden/>
    <w:unhideWhenUsed/>
    <w:rsid w:val="007B774E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B774E"/>
  </w:style>
  <w:style w:type="character" w:customStyle="1" w:styleId="a9">
    <w:name w:val="註解文字 字元"/>
    <w:basedOn w:val="a0"/>
    <w:link w:val="a8"/>
    <w:semiHidden/>
    <w:rsid w:val="007B774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B774E"/>
    <w:rPr>
      <w:b/>
      <w:bCs/>
    </w:rPr>
  </w:style>
  <w:style w:type="character" w:customStyle="1" w:styleId="ab">
    <w:name w:val="註解主旨 字元"/>
    <w:basedOn w:val="a9"/>
    <w:link w:val="aa"/>
    <w:semiHidden/>
    <w:rsid w:val="007B774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7B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B7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38F06-B0AA-4F27-B4FD-8348AB1B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257</Words>
  <Characters>1468</Characters>
  <Application>Microsoft Office Word</Application>
  <DocSecurity>0</DocSecurity>
  <Lines>12</Lines>
  <Paragraphs>3</Paragraphs>
  <ScaleCrop>false</ScaleCrop>
  <Company>陳氏家族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資料組</dc:title>
  <dc:creator>UR</dc:creator>
  <cp:lastModifiedBy>user</cp:lastModifiedBy>
  <cp:revision>7</cp:revision>
  <cp:lastPrinted>2016-11-08T01:17:00Z</cp:lastPrinted>
  <dcterms:created xsi:type="dcterms:W3CDTF">2016-10-27T03:14:00Z</dcterms:created>
  <dcterms:modified xsi:type="dcterms:W3CDTF">2016-11-08T01:29:00Z</dcterms:modified>
</cp:coreProperties>
</file>